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jc w:val="center"/>
        <w:rPr>
          <w:rFonts w:ascii="微软雅黑" w:hAnsi="微软雅黑" w:eastAsia="微软雅黑"/>
          <w:b/>
          <w:bCs/>
          <w:color w:val="383940"/>
          <w:sz w:val="33"/>
          <w:szCs w:val="33"/>
        </w:rPr>
      </w:pPr>
      <w:r>
        <w:rPr>
          <w:rFonts w:hint="eastAsia" w:ascii="微软雅黑" w:hAnsi="微软雅黑" w:eastAsia="微软雅黑"/>
          <w:b/>
          <w:bCs/>
          <w:color w:val="383940"/>
          <w:sz w:val="33"/>
          <w:szCs w:val="33"/>
        </w:rPr>
        <w:t>江西诚信伟业招标咨询有限公司关于南昌市卫生学校采购展览馆工程项目（项目编号：1493-226002244008）竞争性谈判采购成交结果公告</w:t>
      </w:r>
    </w:p>
    <w:p>
      <w:pPr>
        <w:widowControl/>
        <w:shd w:val="clear" w:color="auto" w:fill="FFFFFF"/>
        <w:spacing w:line="440" w:lineRule="exact"/>
        <w:jc w:val="left"/>
        <w:rPr>
          <w:rFonts w:ascii="宋体" w:hAnsi="宋体" w:eastAsia="宋体" w:cs="宋体"/>
          <w:color w:val="383838"/>
          <w:kern w:val="0"/>
          <w:szCs w:val="21"/>
        </w:rPr>
      </w:pPr>
      <w:bookmarkStart w:id="0" w:name="_GoBack"/>
      <w:r>
        <w:rPr>
          <w:rFonts w:hint="eastAsia" w:ascii="宋体" w:hAnsi="宋体" w:eastAsia="宋体" w:cs="宋体"/>
          <w:b/>
          <w:bCs/>
          <w:color w:val="383838"/>
          <w:kern w:val="0"/>
          <w:szCs w:val="21"/>
        </w:rPr>
        <w:t>一、项目编号：</w:t>
      </w:r>
      <w:r>
        <w:rPr>
          <w:rFonts w:ascii="宋体" w:hAnsi="宋体" w:eastAsia="宋体" w:cs="宋体"/>
          <w:b/>
          <w:bCs/>
          <w:color w:val="383838"/>
          <w:kern w:val="0"/>
          <w:szCs w:val="21"/>
        </w:rPr>
        <w:t>1493-226002244008</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b/>
          <w:bCs/>
          <w:color w:val="383838"/>
          <w:kern w:val="0"/>
          <w:szCs w:val="21"/>
        </w:rPr>
        <w:t>二、项目名称：南昌市卫生学校采购展览馆工程项目</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b/>
          <w:bCs/>
          <w:color w:val="383838"/>
          <w:kern w:val="0"/>
          <w:szCs w:val="21"/>
        </w:rPr>
        <w:t>三、中标（成交）信息</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供应商名称：江西省建工路桥工程有限公司</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供应商地址：江西省南昌市青云谱区迎宾大道52号</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中标（成交）金额：24.62（万元）</w:t>
      </w:r>
    </w:p>
    <w:p>
      <w:pPr>
        <w:widowControl/>
        <w:numPr>
          <w:ilvl w:val="0"/>
          <w:numId w:val="1"/>
        </w:numPr>
        <w:shd w:val="clear" w:color="auto" w:fill="FFFFFF"/>
        <w:spacing w:line="440" w:lineRule="exact"/>
        <w:jc w:val="left"/>
        <w:rPr>
          <w:rFonts w:ascii="宋体" w:hAnsi="宋体" w:eastAsia="宋体" w:cs="宋体"/>
          <w:b/>
          <w:bCs/>
          <w:color w:val="383838"/>
          <w:kern w:val="0"/>
          <w:szCs w:val="21"/>
        </w:rPr>
      </w:pPr>
      <w:r>
        <w:rPr>
          <w:rFonts w:hint="eastAsia" w:ascii="宋体" w:hAnsi="宋体" w:eastAsia="宋体" w:cs="宋体"/>
          <w:b/>
          <w:bCs/>
          <w:color w:val="383838"/>
          <w:kern w:val="0"/>
          <w:szCs w:val="21"/>
        </w:rPr>
        <w:t>主要标的信息</w:t>
      </w:r>
    </w:p>
    <w:tbl>
      <w:tblPr>
        <w:tblStyle w:val="5"/>
        <w:tblW w:w="0" w:type="auto"/>
        <w:tblInd w:w="0" w:type="dxa"/>
        <w:tblBorders>
          <w:top w:val="outset" w:color="auto" w:sz="18" w:space="0"/>
          <w:left w:val="outset" w:color="auto" w:sz="18" w:space="0"/>
          <w:bottom w:val="outset" w:color="auto" w:sz="18" w:space="0"/>
          <w:right w:val="outset" w:color="auto" w:sz="18" w:space="0"/>
          <w:insideH w:val="none" w:color="auto" w:sz="0" w:space="0"/>
          <w:insideV w:val="none" w:color="auto" w:sz="0" w:space="0"/>
        </w:tblBorders>
        <w:tblLayout w:type="autofit"/>
        <w:tblCellMar>
          <w:top w:w="0" w:type="dxa"/>
          <w:left w:w="0" w:type="dxa"/>
          <w:bottom w:w="0" w:type="dxa"/>
          <w:right w:w="0" w:type="dxa"/>
        </w:tblCellMar>
      </w:tblPr>
      <w:tblGrid>
        <w:gridCol w:w="576"/>
        <w:gridCol w:w="1840"/>
        <w:gridCol w:w="1699"/>
        <w:gridCol w:w="1132"/>
        <w:gridCol w:w="991"/>
        <w:gridCol w:w="992"/>
        <w:gridCol w:w="1086"/>
      </w:tblGrid>
      <w:tr>
        <w:tblPrEx>
          <w:tblBorders>
            <w:top w:val="outset" w:color="auto" w:sz="18" w:space="0"/>
            <w:left w:val="outset" w:color="auto" w:sz="18" w:space="0"/>
            <w:bottom w:val="outset" w:color="auto" w:sz="18" w:space="0"/>
            <w:right w:val="outset" w:color="auto" w:sz="18" w:space="0"/>
            <w:insideH w:val="none" w:color="auto" w:sz="0" w:space="0"/>
            <w:insideV w:val="none" w:color="auto" w:sz="0" w:space="0"/>
          </w:tblBorders>
          <w:tblCellMar>
            <w:top w:w="0" w:type="dxa"/>
            <w:left w:w="0" w:type="dxa"/>
            <w:bottom w:w="0" w:type="dxa"/>
            <w:right w:w="0" w:type="dxa"/>
          </w:tblCellMar>
        </w:tblPrEx>
        <w:tc>
          <w:tcPr>
            <w:tcW w:w="577"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序号</w:t>
            </w:r>
          </w:p>
        </w:tc>
        <w:tc>
          <w:tcPr>
            <w:tcW w:w="1843"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采购标的</w:t>
            </w:r>
          </w:p>
        </w:tc>
        <w:tc>
          <w:tcPr>
            <w:tcW w:w="1701"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制造商名称</w:t>
            </w:r>
          </w:p>
        </w:tc>
        <w:tc>
          <w:tcPr>
            <w:tcW w:w="1134"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货物品牌</w:t>
            </w:r>
          </w:p>
        </w:tc>
        <w:tc>
          <w:tcPr>
            <w:tcW w:w="992"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货物型号</w:t>
            </w:r>
          </w:p>
        </w:tc>
        <w:tc>
          <w:tcPr>
            <w:tcW w:w="993"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货物数量</w:t>
            </w:r>
          </w:p>
        </w:tc>
        <w:tc>
          <w:tcPr>
            <w:tcW w:w="1086"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货物单价(元)</w:t>
            </w:r>
          </w:p>
        </w:tc>
      </w:tr>
      <w:tr>
        <w:tblPrEx>
          <w:tblBorders>
            <w:top w:val="outset" w:color="auto" w:sz="18" w:space="0"/>
            <w:left w:val="outset" w:color="auto" w:sz="18" w:space="0"/>
            <w:bottom w:val="outset" w:color="auto" w:sz="18" w:space="0"/>
            <w:right w:val="outset" w:color="auto" w:sz="18" w:space="0"/>
            <w:insideH w:val="none" w:color="auto" w:sz="0" w:space="0"/>
            <w:insideV w:val="none" w:color="auto" w:sz="0" w:space="0"/>
          </w:tblBorders>
        </w:tblPrEx>
        <w:tc>
          <w:tcPr>
            <w:tcW w:w="577"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1</w:t>
            </w:r>
          </w:p>
        </w:tc>
        <w:tc>
          <w:tcPr>
            <w:tcW w:w="1843"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展览馆工程项目</w:t>
            </w:r>
          </w:p>
        </w:tc>
        <w:tc>
          <w:tcPr>
            <w:tcW w:w="1701"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江西省建工路桥工程有限公司</w:t>
            </w:r>
          </w:p>
        </w:tc>
        <w:tc>
          <w:tcPr>
            <w:tcW w:w="1134"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按需定制</w:t>
            </w:r>
          </w:p>
        </w:tc>
        <w:tc>
          <w:tcPr>
            <w:tcW w:w="992"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按需定制</w:t>
            </w:r>
          </w:p>
        </w:tc>
        <w:tc>
          <w:tcPr>
            <w:tcW w:w="993"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1项</w:t>
            </w:r>
          </w:p>
        </w:tc>
        <w:tc>
          <w:tcPr>
            <w:tcW w:w="1086" w:type="dxa"/>
            <w:tcBorders>
              <w:top w:val="inset" w:color="auto" w:sz="4" w:space="0"/>
              <w:left w:val="inset" w:color="auto" w:sz="8" w:space="0"/>
              <w:bottom w:val="inset" w:color="auto" w:sz="8" w:space="0"/>
              <w:right w:val="inset" w:color="auto" w:sz="8" w:space="0"/>
            </w:tcBorders>
            <w:vAlign w:val="center"/>
          </w:tcPr>
          <w:p>
            <w:pPr>
              <w:widowControl/>
              <w:spacing w:line="440" w:lineRule="exact"/>
              <w:jc w:val="center"/>
              <w:rPr>
                <w:rFonts w:ascii="宋体" w:hAnsi="宋体" w:eastAsia="宋体" w:cs="宋体"/>
                <w:color w:val="383838"/>
                <w:kern w:val="0"/>
                <w:szCs w:val="21"/>
              </w:rPr>
            </w:pPr>
            <w:r>
              <w:rPr>
                <w:rFonts w:hint="eastAsia" w:ascii="宋体" w:hAnsi="宋体" w:eastAsia="宋体" w:cs="宋体"/>
                <w:color w:val="383838"/>
                <w:kern w:val="0"/>
                <w:szCs w:val="21"/>
              </w:rPr>
              <w:t>246200.00</w:t>
            </w:r>
          </w:p>
        </w:tc>
      </w:tr>
    </w:tbl>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b/>
          <w:bCs/>
          <w:color w:val="383838"/>
          <w:kern w:val="0"/>
          <w:szCs w:val="21"/>
        </w:rPr>
        <w:t>五、评审专家名单：</w:t>
      </w:r>
    </w:p>
    <w:p>
      <w:pPr>
        <w:widowControl/>
        <w:shd w:val="clear" w:color="auto" w:fill="FFFFFF"/>
        <w:spacing w:line="440" w:lineRule="exact"/>
        <w:jc w:val="left"/>
        <w:rPr>
          <w:rFonts w:hint="eastAsia" w:ascii="宋体" w:hAnsi="宋体" w:eastAsia="宋体" w:cs="宋体"/>
          <w:color w:val="383838"/>
          <w:kern w:val="0"/>
          <w:szCs w:val="21"/>
        </w:rPr>
      </w:pPr>
      <w:r>
        <w:rPr>
          <w:rFonts w:hint="eastAsia" w:ascii="宋体" w:hAnsi="宋体" w:eastAsia="宋体" w:cs="宋体"/>
          <w:color w:val="383838"/>
          <w:kern w:val="0"/>
          <w:szCs w:val="21"/>
        </w:rPr>
        <w:t>华丹（组长）、汪磊、余伶伶</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b/>
          <w:bCs/>
          <w:color w:val="383838"/>
          <w:kern w:val="0"/>
          <w:szCs w:val="21"/>
        </w:rPr>
        <w:t>六、代理服务收费标准及金额：</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本项目代理费收费标准：成交供应商应在领取成交通知书前，向采购代理机构交纳采购代理服务费：4500(肆仟伍佰元整)。</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b/>
          <w:bCs/>
          <w:color w:val="383838"/>
          <w:kern w:val="0"/>
          <w:szCs w:val="21"/>
        </w:rPr>
        <w:t>本项目代理费总金额：0.4500000 万元（人民币）</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b/>
          <w:bCs/>
          <w:color w:val="383838"/>
          <w:kern w:val="0"/>
          <w:szCs w:val="21"/>
        </w:rPr>
        <w:t>七、公告期限</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自本公告发布之日起1个工作日。</w:t>
      </w:r>
    </w:p>
    <w:p>
      <w:pPr>
        <w:widowControl/>
        <w:shd w:val="clear" w:color="auto" w:fill="FFFFFF"/>
        <w:spacing w:line="440" w:lineRule="exact"/>
        <w:jc w:val="left"/>
        <w:outlineLvl w:val="0"/>
        <w:rPr>
          <w:rFonts w:ascii="宋体" w:hAnsi="宋体" w:eastAsia="宋体" w:cs="宋体"/>
          <w:color w:val="383838"/>
          <w:kern w:val="0"/>
          <w:szCs w:val="21"/>
        </w:rPr>
      </w:pPr>
      <w:r>
        <w:rPr>
          <w:rFonts w:hint="eastAsia" w:ascii="宋体" w:hAnsi="宋体" w:eastAsia="宋体" w:cs="宋体"/>
          <w:b/>
          <w:bCs/>
          <w:color w:val="383838"/>
          <w:kern w:val="0"/>
          <w:szCs w:val="21"/>
        </w:rPr>
        <w:t>八、其它补充事宜</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1.招标公告发布日期：2022年03月20日</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2.定标日期：2022年03月29日</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3.工期：合同签订后30日历天内施工完成并验收合格交付使用。</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4.如有异议，请于本公告发布之日起七个工作日内以书面形式向采购代理机构提出，逾期将不再受理。</w:t>
      </w:r>
    </w:p>
    <w:p>
      <w:pPr>
        <w:widowControl/>
        <w:shd w:val="clear" w:color="auto" w:fill="FFFFFF"/>
        <w:spacing w:line="440" w:lineRule="exact"/>
        <w:jc w:val="left"/>
        <w:outlineLvl w:val="0"/>
        <w:rPr>
          <w:rFonts w:ascii="宋体" w:hAnsi="宋体" w:eastAsia="宋体" w:cs="宋体"/>
          <w:color w:val="383838"/>
          <w:kern w:val="0"/>
          <w:szCs w:val="21"/>
        </w:rPr>
      </w:pPr>
      <w:r>
        <w:rPr>
          <w:rFonts w:hint="eastAsia" w:ascii="宋体" w:hAnsi="宋体" w:eastAsia="宋体" w:cs="宋体"/>
          <w:b/>
          <w:bCs/>
          <w:color w:val="383838"/>
          <w:kern w:val="0"/>
          <w:szCs w:val="21"/>
        </w:rPr>
        <w:t>九、凡对本次公告内容提出询问，请按以下方式联系。</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1.采购人信息</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名 称：南昌市卫生学校　　　　　</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地址：南昌市东湖区上营坊街9号　　　　　　　　</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联系方式：周老师0791-86235674　　　　　　</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2.采购代理机构信息</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名 称：江西诚信伟业招标咨询有限公司　　　　　　　　　　　　</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地　址：江西省南昌市红谷滩新区凤凰中大道890号萍钢大厦904室　　　　　　　　　　　　</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联系方式：张倩/邱利娟/王健0791-83811022　　　　　　　　　　　　</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3.项目联系方式</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项目联系人：张倩/邱利娟/王健</w:t>
      </w:r>
    </w:p>
    <w:p>
      <w:pPr>
        <w:widowControl/>
        <w:shd w:val="clear" w:color="auto" w:fill="FFFFFF"/>
        <w:spacing w:line="440" w:lineRule="exact"/>
        <w:jc w:val="left"/>
        <w:rPr>
          <w:rFonts w:ascii="宋体" w:hAnsi="宋体" w:eastAsia="宋体" w:cs="宋体"/>
          <w:color w:val="383838"/>
          <w:kern w:val="0"/>
          <w:szCs w:val="21"/>
        </w:rPr>
      </w:pPr>
      <w:r>
        <w:rPr>
          <w:rFonts w:hint="eastAsia" w:ascii="宋体" w:hAnsi="宋体" w:eastAsia="宋体" w:cs="宋体"/>
          <w:color w:val="383838"/>
          <w:kern w:val="0"/>
          <w:szCs w:val="21"/>
        </w:rPr>
        <w:t>电　话：0791-83811022</w:t>
      </w:r>
    </w:p>
    <w:p>
      <w:pPr>
        <w:spacing w:line="440" w:lineRule="exact"/>
        <w:rPr>
          <w:rFonts w:ascii="宋体" w:hAnsi="宋体" w:eastAsia="宋体"/>
          <w:szCs w:val="21"/>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3BD4D"/>
    <w:multiLevelType w:val="singleLevel"/>
    <w:tmpl w:val="F763BD4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2C"/>
    <w:rsid w:val="001D54D3"/>
    <w:rsid w:val="005457BB"/>
    <w:rsid w:val="005537CB"/>
    <w:rsid w:val="006E4818"/>
    <w:rsid w:val="006E6DF6"/>
    <w:rsid w:val="00A706EF"/>
    <w:rsid w:val="00B00005"/>
    <w:rsid w:val="00CA7A0D"/>
    <w:rsid w:val="00E15C98"/>
    <w:rsid w:val="00F26D2C"/>
    <w:rsid w:val="5DE11B6D"/>
    <w:rsid w:val="64C91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7"/>
    <w:semiHidden/>
    <w:unhideWhenUsed/>
    <w:uiPriority w:val="99"/>
    <w:rPr>
      <w:rFonts w:ascii="宋体" w:eastAsia="宋体"/>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文档结构图 Char"/>
    <w:basedOn w:val="6"/>
    <w:link w:val="2"/>
    <w:semiHidden/>
    <w:uiPriority w:val="99"/>
    <w:rPr>
      <w:rFonts w:ascii="宋体" w:eastAsia="宋体"/>
      <w:kern w:val="2"/>
      <w:sz w:val="18"/>
      <w:szCs w:val="18"/>
    </w:rPr>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612</Words>
  <Characters>727</Characters>
  <Lines>5</Lines>
  <Paragraphs>1</Paragraphs>
  <TotalTime>9</TotalTime>
  <ScaleCrop>false</ScaleCrop>
  <LinksUpToDate>false</LinksUpToDate>
  <CharactersWithSpaces>787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2021-12-10T07:50:00Z</dcterms:created>
  <dc:creator>Administrator</dc:creator>
  <cp:lastModifiedBy>追梦天使</cp:lastModifiedBy>
  <dcterms:modified xsi:type="dcterms:W3CDTF">2022-03-29T09:19:27Z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2250918681214CF08F222FC1118C0EA7</vt:lpwstr>
  </property>
</Properties>
</file>